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江北新区科学阅读研讨会活动方案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活动主题：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leftChars="0" w:firstLine="480" w:firstLineChars="200"/>
        <w:jc w:val="both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5月17日，教育部等十八部门联合印发《关于加强新时代中小学科学教育工作的意见》，系统部署在教育“双减”中做好科学教育加法，支撑服务一体化推进教育、科技、人才高质量发展。在日益强调儿童综合素养全面发展的当下，利用绘本等儿童阅读资源，助力科学和阅读实现跨学科教学，是落实教育“双减”的重要途径。本次活动邀请</w:t>
      </w:r>
      <w:r>
        <w:rPr>
          <w:rFonts w:hint="eastAsia" w:ascii="宋体" w:hAnsi="宋体" w:eastAsia="宋体" w:cs="宋体"/>
          <w:sz w:val="24"/>
          <w:szCs w:val="24"/>
        </w:rPr>
        <w:t>南加州师范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院教授，台北市立大学研究所兼任助理教授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刘淑雯老师与桂馨基金会项目专家、中西部</w:t>
      </w:r>
      <w:r>
        <w:rPr>
          <w:rFonts w:hint="eastAsia"/>
          <w:sz w:val="24"/>
          <w:szCs w:val="24"/>
          <w:lang w:val="en-US" w:eastAsia="zh-CN"/>
        </w:rPr>
        <w:t>地区骨干教师代表共同交流，探讨科学阅读的未来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活动时间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：2024年3月13日下午14：00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三、活动地点</w:t>
      </w:r>
      <w:r>
        <w:rPr>
          <w:rFonts w:hint="eastAsia"/>
          <w:sz w:val="24"/>
          <w:szCs w:val="24"/>
          <w:lang w:val="en-US" w:eastAsia="zh-CN"/>
        </w:rPr>
        <w:t>：江苏省南京</w:t>
      </w:r>
      <w:r>
        <w:rPr>
          <w:rFonts w:hint="default"/>
          <w:sz w:val="24"/>
          <w:szCs w:val="24"/>
          <w:lang w:val="en-US" w:eastAsia="zh-CN"/>
        </w:rPr>
        <w:t>工业大学实验小学</w:t>
      </w:r>
      <w:r>
        <w:rPr>
          <w:rFonts w:hint="eastAsia"/>
          <w:sz w:val="18"/>
          <w:szCs w:val="18"/>
          <w:lang w:val="en-US" w:eastAsia="zh-CN"/>
        </w:rPr>
        <w:t>（江苏省南京市浦口区江北新区外庄路42号）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ind w:leftChars="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四、</w:t>
      </w:r>
      <w:r>
        <w:rPr>
          <w:rFonts w:hint="eastAsia"/>
          <w:b/>
          <w:bCs/>
          <w:sz w:val="24"/>
          <w:szCs w:val="24"/>
          <w:lang w:val="en-US" w:eastAsia="zh-CN"/>
        </w:rPr>
        <w:t>活动内容</w:t>
      </w:r>
      <w:r>
        <w:rPr>
          <w:rFonts w:hint="eastAsia"/>
          <w:sz w:val="24"/>
          <w:szCs w:val="24"/>
          <w:lang w:val="en-US" w:eastAsia="zh-CN"/>
        </w:rPr>
        <w:t>：</w:t>
      </w:r>
    </w:p>
    <w:tbl>
      <w:tblPr>
        <w:tblStyle w:val="4"/>
        <w:tblW w:w="8918" w:type="dxa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9"/>
        <w:gridCol w:w="3599"/>
        <w:gridCol w:w="3720"/>
      </w:tblGrid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9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F2329"/>
                <w:sz w:val="24"/>
                <w:szCs w:val="24"/>
              </w:rPr>
              <w:t>时间</w:t>
            </w:r>
          </w:p>
        </w:tc>
        <w:tc>
          <w:tcPr>
            <w:tcW w:w="359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F2329"/>
                <w:sz w:val="24"/>
                <w:szCs w:val="24"/>
              </w:rPr>
              <w:t>环节</w:t>
            </w:r>
          </w:p>
        </w:tc>
        <w:tc>
          <w:tcPr>
            <w:tcW w:w="3720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1F2329"/>
                <w:sz w:val="24"/>
                <w:szCs w:val="24"/>
              </w:rPr>
              <w:t>嘉宾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92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13:30-13:40</w:t>
            </w:r>
          </w:p>
        </w:tc>
        <w:tc>
          <w:tcPr>
            <w:tcW w:w="3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活动致辞</w:t>
            </w:r>
          </w:p>
        </w:tc>
        <w:tc>
          <w:tcPr>
            <w:tcW w:w="372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樊 英 北京桂馨慈善基金会副理事长兼秘书长</w:t>
            </w:r>
          </w:p>
          <w:p>
            <w:pPr>
              <w:spacing w:before="120" w:after="120" w:line="288" w:lineRule="auto"/>
              <w:ind w:left="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 红 江苏省特级教师、南京工业大学实验小学党支部书记、校长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2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0</w:t>
            </w:r>
          </w:p>
        </w:tc>
        <w:tc>
          <w:tcPr>
            <w:tcW w:w="3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科学阅读示例课</w:t>
            </w:r>
          </w:p>
        </w:tc>
        <w:tc>
          <w:tcPr>
            <w:tcW w:w="3720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南京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工业大学实验小学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语文&amp;科学教师</w:t>
            </w:r>
          </w:p>
        </w:tc>
      </w:tr>
    </w:tbl>
    <w:p>
      <w:pPr>
        <w:spacing w:before="120" w:after="120" w:line="288" w:lineRule="auto"/>
        <w:ind w:left="0"/>
        <w:jc w:val="center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510" w:gutter="0"/>
          <w:cols w:space="425" w:num="1"/>
          <w:docGrid w:type="lines" w:linePitch="312" w:charSpace="0"/>
        </w:sectPr>
      </w:pPr>
    </w:p>
    <w:tbl>
      <w:tblPr>
        <w:tblStyle w:val="4"/>
        <w:tblW w:w="8918" w:type="dxa"/>
        <w:tblInd w:w="0" w:type="dxa"/>
        <w:tblBorders>
          <w:top w:val="single" w:color="DEE0E3" w:sz="0" w:space="0"/>
          <w:left w:val="single" w:color="DEE0E3" w:sz="0" w:space="0"/>
          <w:bottom w:val="single" w:color="DEE0E3" w:sz="0" w:space="0"/>
          <w:right w:val="single" w:color="DEE0E3" w:sz="0" w:space="0"/>
          <w:insideH w:val="single" w:color="DEE0E3" w:sz="0" w:space="0"/>
          <w:insideV w:val="single" w:color="DEE0E3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9"/>
        <w:gridCol w:w="3805"/>
        <w:gridCol w:w="3514"/>
      </w:tblGrid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55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0-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8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美国、台湾地区科学阅读案例介绍</w:t>
            </w:r>
          </w:p>
        </w:tc>
        <w:tc>
          <w:tcPr>
            <w:tcW w:w="35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嘉宾：</w:t>
            </w:r>
          </w:p>
          <w:p>
            <w:pPr>
              <w:spacing w:before="120" w:after="120" w:line="288" w:lineRule="auto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刘淑雯：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南加州师范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院教授，台北市立大学研究所兼任助理教授，北京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师范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大学引智人才计划教授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现任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任教于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长庚大学和台北市立大学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师培与研究所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两度获台湾学术木铎奖。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15:50-16:00</w:t>
            </w:r>
          </w:p>
        </w:tc>
        <w:tc>
          <w:tcPr>
            <w:tcW w:w="7319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中场休息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2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-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80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交流研讨</w:t>
            </w:r>
          </w:p>
        </w:tc>
        <w:tc>
          <w:tcPr>
            <w:tcW w:w="3514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>
            <w:pPr>
              <w:spacing w:before="120" w:after="120" w:line="288" w:lineRule="auto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主持人：</w:t>
            </w:r>
          </w:p>
          <w:p>
            <w:pPr>
              <w:spacing w:before="120" w:after="120" w:line="288" w:lineRule="auto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 红 江苏省特级教师、南京工业大学实验小学党支部书记、校长</w:t>
            </w:r>
          </w:p>
        </w:tc>
      </w:tr>
      <w:tr>
        <w:tblPrEx>
          <w:tblBorders>
            <w:top w:val="single" w:color="DEE0E3" w:sz="0" w:space="0"/>
            <w:left w:val="single" w:color="DEE0E3" w:sz="0" w:space="0"/>
            <w:bottom w:val="single" w:color="DEE0E3" w:sz="0" w:space="0"/>
            <w:right w:val="single" w:color="DEE0E3" w:sz="0" w:space="0"/>
            <w:insideH w:val="single" w:color="DEE0E3" w:sz="0" w:space="0"/>
            <w:insideV w:val="single" w:color="DEE0E3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</w:trPr>
        <w:tc>
          <w:tcPr>
            <w:tcW w:w="1599" w:type="dxa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0-1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</w:rPr>
              <w:t>0</w:t>
            </w:r>
          </w:p>
        </w:tc>
        <w:tc>
          <w:tcPr>
            <w:tcW w:w="7319" w:type="dxa"/>
            <w:gridSpan w:val="2"/>
            <w:tcMar>
              <w:top w:w="60" w:type="dxa"/>
              <w:left w:w="120" w:type="dxa"/>
              <w:bottom w:w="30" w:type="dxa"/>
              <w:right w:w="120" w:type="dxa"/>
            </w:tcMar>
          </w:tcPr>
          <w:p>
            <w:pPr>
              <w:spacing w:before="120" w:after="120" w:line="288" w:lineRule="auto"/>
              <w:ind w:lef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1F2329"/>
                <w:sz w:val="24"/>
                <w:szCs w:val="24"/>
                <w:lang w:val="en-US" w:eastAsia="zh-CN"/>
              </w:rPr>
              <w:t>合影留念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五、参会人员：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桂馨基金会项目专家、中西部地区阅读、科学骨干教师代表约30人。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六、拟邀请嘉宾：</w:t>
      </w:r>
    </w:p>
    <w:p>
      <w:pPr>
        <w:spacing w:before="120" w:after="120" w:line="288" w:lineRule="auto"/>
        <w:ind w:left="0"/>
        <w:jc w:val="left"/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郝京华：南京师范大学教育科学学院教授。</w:t>
      </w:r>
    </w:p>
    <w:p>
      <w:pPr>
        <w:spacing w:before="120" w:after="120" w:line="288" w:lineRule="auto"/>
        <w:ind w:left="0"/>
        <w:jc w:val="left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卢新祁：中国教育学会科学教育分会副理事长、江苏省中小学教学研究室原小学科学教研员。</w:t>
      </w:r>
    </w:p>
    <w:p>
      <w:pPr>
        <w:spacing w:before="120" w:after="120" w:line="288" w:lineRule="auto"/>
        <w:ind w:left="0"/>
        <w:jc w:val="left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李  亮：教育部基础教育教学指导委员会语文教学指导专委会委员，江苏省中小学教研室小学语文教研员。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芮  琼：江苏省教育学会小语专业委员会副秘书长，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南京市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教学研究室小学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语文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教研员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。</w:t>
      </w:r>
    </w:p>
    <w:p>
      <w:pPr>
        <w:spacing w:before="120" w:after="120" w:line="288" w:lineRule="auto"/>
        <w:ind w:left="0"/>
        <w:jc w:val="left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杨  健：江苏省南京市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教学研究室小学科学教研员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。</w:t>
      </w:r>
    </w:p>
    <w:p>
      <w:pPr>
        <w:spacing w:before="120" w:after="120" w:line="288" w:lineRule="auto"/>
        <w:ind w:left="0"/>
        <w:jc w:val="left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冯  凌：江苏省南京市玄武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区教师发展中心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小学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科学教研员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黄雅芸：江苏省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南京市玄武区教师发展中心小学语文教研员。</w:t>
      </w:r>
    </w:p>
    <w:p>
      <w:pPr>
        <w:spacing w:before="120" w:after="120" w:line="288" w:lineRule="auto"/>
        <w:ind w:left="0"/>
        <w:jc w:val="left"/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陈林静：特级教师，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江苏省南京市江宁区教育科学研究室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副主任。</w:t>
      </w:r>
    </w:p>
    <w:p>
      <w:pPr>
        <w:spacing w:before="120" w:after="120" w:line="288" w:lineRule="auto"/>
        <w:ind w:left="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马冠中：</w:t>
      </w:r>
      <w:r>
        <w:rPr>
          <w:rFonts w:hint="default" w:ascii="宋体" w:hAnsi="宋体" w:eastAsia="宋体" w:cs="宋体"/>
          <w:color w:val="1F2329"/>
          <w:sz w:val="24"/>
          <w:szCs w:val="24"/>
          <w:lang w:val="en-US" w:eastAsia="zh-CN"/>
        </w:rPr>
        <w:t>香港大学科学教育博士,南京大学教育研究院·陶行知教师教育学院</w:t>
      </w:r>
      <w:r>
        <w:rPr>
          <w:rFonts w:hint="eastAsia" w:ascii="宋体" w:hAnsi="宋体" w:eastAsia="宋体" w:cs="宋体"/>
          <w:color w:val="1F2329"/>
          <w:sz w:val="24"/>
          <w:szCs w:val="24"/>
          <w:lang w:val="en-US" w:eastAsia="zh-CN"/>
        </w:rPr>
        <w:t>教师。</w:t>
      </w:r>
    </w:p>
    <w:sectPr>
      <w:footerReference r:id="rId4" w:type="default"/>
      <w:pgSz w:w="11906" w:h="16838"/>
      <w:pgMar w:top="1440" w:right="1800" w:bottom="1440" w:left="1800" w:header="851" w:footer="22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DC060"/>
    <w:multiLevelType w:val="singleLevel"/>
    <w:tmpl w:val="D02DC0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NzRkNTg0Y2UxNDAzZTk1YTliYmNjMWFmYTc4YjcifQ=="/>
  </w:docVars>
  <w:rsids>
    <w:rsidRoot w:val="6E5637AD"/>
    <w:rsid w:val="0B262672"/>
    <w:rsid w:val="0CDE2F05"/>
    <w:rsid w:val="385A7E1B"/>
    <w:rsid w:val="43605E98"/>
    <w:rsid w:val="459B3501"/>
    <w:rsid w:val="60052F14"/>
    <w:rsid w:val="69480DCB"/>
    <w:rsid w:val="6A3C1684"/>
    <w:rsid w:val="6E5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2024-02-23T01:53:00Z</dcterms:created>
  <dc:creator>smile</dc:creator>
  <cp:lastModifiedBy>大铭小亮</cp:lastModifiedBy>
  <dcterms:modified xsi:type="dcterms:W3CDTF">2024-03-01T07:12:09Z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089D59B5A7964189ACAD5332C31B0722_13</vt:lpwstr>
  </property>
</Properties>
</file>